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0" w:lineRule="auto"/>
        <w:rPr>
          <w:b w:val="1"/>
          <w:bCs w:val="1"/>
          <w:sz w:val="22"/>
          <w:szCs w:val="22"/>
        </w:rPr>
      </w:pPr>
      <w:r w:rsidDel="00000000" w:rsidR="00000000" w:rsidRPr="00000000">
        <w:rPr>
          <w:rtl w:val="0"/>
        </w:rPr>
      </w:r>
    </w:p>
    <w:p w:rsidR="00000000" w:rsidDel="00000000" w:rsidP="00000000" w:rsidRDefault="00000000" w:rsidRPr="00000000" w14:paraId="00000004">
      <w:pPr>
        <w:spacing w:before="240" w:lineRule="auto"/>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pBdr>
          <w:top w:color="000000" w:space="0" w:sz="6" w:val="single"/>
          <w:left w:color="000000" w:space="0" w:sz="6" w:val="single"/>
          <w:bottom w:color="000000" w:space="0" w:sz="6" w:val="single"/>
          <w:right w:color="000000" w:space="0" w:sz="6" w:val="single"/>
          <w:between w:space="0" w:sz="0" w:val="nil"/>
        </w:pBdr>
        <w:spacing w:after="0" w:line="259" w:lineRule="auto"/>
        <w:rPr>
          <w:color w:val="000000"/>
        </w:rPr>
      </w:pPr>
      <w:r w:rsidDel="00000000" w:rsidR="00000000" w:rsidRPr="00000000">
        <w:rPr>
          <w:color w:val="000000"/>
          <w:sz w:val="22"/>
          <w:szCs w:val="22"/>
          <w:rtl w:val="0"/>
        </w:rPr>
        <w:t xml:space="preserve">RONPA0491ZPB</w:t>
      </w:r>
      <w:r w:rsidDel="00000000" w:rsidR="00000000" w:rsidRPr="00000000">
        <w:rPr>
          <w:rtl w:val="0"/>
        </w:rPr>
      </w:r>
    </w:p>
    <w:p w:rsidR="00000000" w:rsidDel="00000000" w:rsidP="00000000" w:rsidRDefault="00000000" w:rsidRPr="00000000" w14:paraId="00000006">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7">
      <w:pPr>
        <w:spacing w:before="240" w:lineRule="auto"/>
        <w:rPr/>
      </w:pPr>
      <w:r w:rsidDel="00000000" w:rsidR="00000000" w:rsidRPr="00000000">
        <w:rPr>
          <w:b w:val="1"/>
          <w:bCs w:val="1"/>
          <w:sz w:val="22"/>
          <w:szCs w:val="22"/>
          <w:rtl w:val="0"/>
        </w:rPr>
        <w:t xml:space="preserve">1.2. Denumire ZPB</w:t>
      </w:r>
      <w:r w:rsidDel="00000000" w:rsidR="00000000" w:rsidRPr="00000000">
        <w:rPr>
          <w:rtl w:val="0"/>
        </w:rPr>
      </w:r>
    </w:p>
    <w:p w:rsidR="00000000" w:rsidDel="00000000" w:rsidP="00000000" w:rsidRDefault="00000000" w:rsidRPr="00000000" w14:paraId="00000008">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Pârâul Dobreanului</w:t>
      </w:r>
      <w:r w:rsidDel="00000000" w:rsidR="00000000" w:rsidRPr="00000000">
        <w:rPr>
          <w:rtl w:val="0"/>
        </w:rPr>
      </w:r>
    </w:p>
    <w:p w:rsidR="00000000" w:rsidDel="00000000" w:rsidP="00000000" w:rsidRDefault="00000000" w:rsidRPr="00000000" w14:paraId="00000009">
      <w:pPr>
        <w:spacing w:before="240" w:lineRule="auto"/>
        <w:rPr>
          <w:b w:val="1"/>
          <w:bCs w:val="1"/>
          <w:sz w:val="22"/>
          <w:szCs w:val="22"/>
        </w:rPr>
      </w:pPr>
      <w:r w:rsidDel="00000000" w:rsidR="00000000" w:rsidRPr="00000000">
        <w:rPr>
          <w:b w:val="1"/>
          <w:bCs w:val="1"/>
          <w:sz w:val="22"/>
          <w:szCs w:val="22"/>
          <w:rtl w:val="0"/>
        </w:rPr>
        <w:t xml:space="preserve">1.3. Încadrarea ZPB în:</w:t>
      </w:r>
    </w:p>
    <w:p w:rsidR="00000000" w:rsidDel="00000000" w:rsidP="00000000" w:rsidRDefault="00000000" w:rsidRPr="00000000" w14:paraId="0000000A">
      <w:pPr>
        <w:spacing w:after="0" w:lineRule="auto"/>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B">
      <w:pPr>
        <w:spacing w:after="0" w:lineRule="auto"/>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C">
      <w:pPr>
        <w:spacing w:after="0" w:lineRule="auto"/>
        <w:rPr/>
      </w:pPr>
      <w:r w:rsidDel="00000000" w:rsidR="00000000" w:rsidRPr="00000000">
        <w:rPr>
          <w:sz w:val="22"/>
          <w:szCs w:val="22"/>
          <w:rtl w:val="0"/>
        </w:rPr>
        <w:t xml:space="preserve">☐ Zonă potențială care să devină arie naturală protejată </w:t>
      </w:r>
      <w:r w:rsidDel="00000000" w:rsidR="00000000" w:rsidRPr="00000000">
        <w:rPr>
          <w:rtl w:val="0"/>
        </w:rPr>
      </w:r>
    </w:p>
    <w:tbl>
      <w:tblPr>
        <w:tblStyle w:val="Table1"/>
        <w:tblW w:w="9000.0" w:type="dxa"/>
        <w:jc w:val="left"/>
        <w:tblLayout w:type="fixed"/>
        <w:tblLook w:val="00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D">
            <w:pPr>
              <w:spacing w:before="240" w:lineRule="auto"/>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E">
            <w:pPr>
              <w:spacing w:before="240" w:lineRule="auto"/>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0">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1">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2">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C">
            <w:pPr>
              <w:rPr/>
            </w:pPr>
            <w:r w:rsidDel="00000000" w:rsidR="00000000" w:rsidRPr="00000000">
              <w:rPr>
                <w:rtl w:val="0"/>
              </w:rPr>
            </w:r>
          </w:p>
        </w:tc>
        <w:tc>
          <w:tcPr/>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E">
                  <w:pPr>
                    <w:jc w:val="center"/>
                    <w:rPr/>
                  </w:pP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4">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A">
            <w:pPr>
              <w:rPr/>
            </w:pPr>
            <w:r w:rsidDel="00000000" w:rsidR="00000000" w:rsidRPr="00000000">
              <w:rPr>
                <w:rtl w:val="0"/>
              </w:rPr>
            </w:r>
          </w:p>
        </w:tc>
      </w:tr>
    </w:tbl>
    <w:p w:rsidR="00000000" w:rsidDel="00000000" w:rsidP="00000000" w:rsidRDefault="00000000" w:rsidRPr="00000000" w14:paraId="0000002B">
      <w:pPr>
        <w:spacing w:before="240" w:lineRule="auto"/>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C">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D">
      <w:pPr>
        <w:spacing w:before="240" w:lineRule="auto"/>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0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2E">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2F">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C">
            <w:pPr>
              <w:rPr/>
            </w:pPr>
            <w:r w:rsidDel="00000000" w:rsidR="00000000" w:rsidRPr="00000000">
              <w:rPr>
                <w:rtl w:val="0"/>
              </w:rPr>
            </w:r>
          </w:p>
        </w:tc>
      </w:tr>
    </w:tbl>
    <w:p w:rsidR="00000000" w:rsidDel="00000000" w:rsidP="00000000" w:rsidRDefault="00000000" w:rsidRPr="00000000" w14:paraId="0000003D">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3E">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3">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3,02</w:t>
      </w:r>
      <w:r w:rsidDel="00000000" w:rsidR="00000000" w:rsidRPr="00000000">
        <w:rPr>
          <w:rtl w:val="0"/>
        </w:rPr>
      </w:r>
    </w:p>
    <w:p w:rsidR="00000000" w:rsidDel="00000000" w:rsidP="00000000" w:rsidRDefault="00000000" w:rsidRPr="00000000" w14:paraId="00000044">
      <w:pPr>
        <w:spacing w:before="240" w:lineRule="auto"/>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100,00%</w:t>
      </w:r>
      <w:r w:rsidDel="00000000" w:rsidR="00000000" w:rsidRPr="00000000">
        <w:rPr>
          <w:rtl w:val="0"/>
        </w:rPr>
      </w:r>
    </w:p>
    <w:p w:rsidR="00000000" w:rsidDel="00000000" w:rsidP="00000000" w:rsidRDefault="00000000" w:rsidRPr="00000000" w14:paraId="00000046">
      <w:pPr>
        <w:spacing w:before="240" w:lineRule="auto"/>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0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7">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8">
            <w:pPr>
              <w:rPr/>
            </w:pPr>
            <w:r w:rsidDel="00000000" w:rsidR="00000000" w:rsidRPr="00000000">
              <w:rPr>
                <w:rtl w:val="0"/>
              </w:rPr>
            </w:r>
          </w:p>
        </w:tc>
        <w:tc>
          <w:tcPr/>
          <w:p w:rsidR="00000000" w:rsidDel="00000000" w:rsidP="00000000" w:rsidRDefault="00000000" w:rsidRPr="00000000" w14:paraId="00000049">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rPr/>
            </w:pPr>
            <w:r w:rsidDel="00000000" w:rsidR="00000000" w:rsidRPr="00000000">
              <w:rPr>
                <w:sz w:val="22"/>
                <w:szCs w:val="22"/>
                <w:rtl w:val="0"/>
              </w:rPr>
              <w:t xml:space="preserve">RO12</w:t>
            </w:r>
            <w:r w:rsidDel="00000000" w:rsidR="00000000" w:rsidRPr="00000000">
              <w:rPr>
                <w:rtl w:val="0"/>
              </w:rPr>
            </w:r>
          </w:p>
        </w:tc>
        <w:tc>
          <w:tcPr/>
          <w:p w:rsidR="00000000" w:rsidDel="00000000" w:rsidP="00000000" w:rsidRDefault="00000000" w:rsidRPr="00000000" w14:paraId="0000004B">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rPr/>
            </w:pPr>
            <w:r w:rsidDel="00000000" w:rsidR="00000000" w:rsidRPr="00000000">
              <w:rPr>
                <w:sz w:val="22"/>
                <w:szCs w:val="22"/>
                <w:rtl w:val="0"/>
              </w:rPr>
              <w:t xml:space="preserve">Centru</w:t>
            </w:r>
            <w:r w:rsidDel="00000000" w:rsidR="00000000" w:rsidRPr="00000000">
              <w:rPr>
                <w:rtl w:val="0"/>
              </w:rPr>
            </w:r>
          </w:p>
        </w:tc>
      </w:tr>
    </w:tbl>
    <w:p w:rsidR="00000000" w:rsidDel="00000000" w:rsidP="00000000" w:rsidRDefault="00000000" w:rsidRPr="00000000" w14:paraId="0000004D">
      <w:pPr>
        <w:spacing w:before="240" w:lineRule="auto"/>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4E">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Harghita</w:t>
      </w:r>
      <w:r w:rsidDel="00000000" w:rsidR="00000000" w:rsidRPr="00000000">
        <w:rPr>
          <w:rtl w:val="0"/>
        </w:rPr>
      </w:r>
    </w:p>
    <w:p w:rsidR="00000000" w:rsidDel="00000000" w:rsidP="00000000" w:rsidRDefault="00000000" w:rsidRPr="00000000" w14:paraId="0000004F">
      <w:pPr>
        <w:spacing w:before="240" w:lineRule="auto"/>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0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0">
            <w:pPr>
              <w:rPr/>
            </w:pPr>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51">
            <w:pPr>
              <w:rPr/>
            </w:pP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3">
            <w:pPr>
              <w:rPr/>
            </w:pPr>
            <w:r w:rsidDel="00000000" w:rsidR="00000000" w:rsidRPr="00000000">
              <w:rPr>
                <w:rtl w:val="0"/>
              </w:rPr>
            </w:r>
          </w:p>
        </w:tc>
        <w:tc>
          <w:tcPr/>
          <w:p w:rsidR="00000000" w:rsidDel="00000000" w:rsidP="00000000" w:rsidRDefault="00000000" w:rsidRPr="00000000" w14:paraId="00000054">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5">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6">
            <w:pPr>
              <w:rPr/>
            </w:pPr>
            <w:r w:rsidDel="00000000" w:rsidR="00000000" w:rsidRPr="00000000">
              <w:rPr>
                <w:rtl w:val="0"/>
              </w:rPr>
            </w:r>
          </w:p>
        </w:tc>
        <w:tc>
          <w:tcPr/>
          <w:p w:rsidR="00000000" w:rsidDel="00000000" w:rsidP="00000000" w:rsidRDefault="00000000" w:rsidRPr="00000000" w14:paraId="00000057">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8">
            <w:pPr>
              <w:rPr/>
            </w:pPr>
            <w:r w:rsidDel="00000000" w:rsidR="00000000" w:rsidRPr="00000000">
              <w:rPr>
                <w:rtl w:val="0"/>
              </w:rPr>
            </w:r>
          </w:p>
        </w:tc>
        <w:tc>
          <w:tcPr/>
          <w:p w:rsidR="00000000" w:rsidDel="00000000" w:rsidP="00000000" w:rsidRDefault="00000000" w:rsidRPr="00000000" w14:paraId="00000059">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A">
      <w:pPr>
        <w:spacing w:before="240" w:lineRule="auto"/>
        <w:jc w:val="center"/>
        <w:rPr/>
      </w:pPr>
      <w:r w:rsidDel="00000000" w:rsidR="00000000" w:rsidRPr="00000000">
        <w:rPr>
          <w:rtl w:val="0"/>
        </w:rPr>
      </w:r>
    </w:p>
    <w:p w:rsidR="00000000" w:rsidDel="00000000" w:rsidP="00000000" w:rsidRDefault="00000000" w:rsidRPr="00000000" w14:paraId="0000005B">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jc w:val="both"/>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1</w:t>
      </w:r>
      <w:r w:rsidDel="00000000" w:rsidR="00000000" w:rsidRPr="00000000">
        <w:rPr>
          <w:rtl w:val="0"/>
        </w:rPr>
      </w:r>
    </w:p>
    <w:p w:rsidR="00000000" w:rsidDel="00000000" w:rsidP="00000000" w:rsidRDefault="00000000" w:rsidRPr="00000000" w14:paraId="0000005F">
      <w:pPr>
        <w:spacing w:before="240" w:lineRule="auto"/>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0">
      <w:pPr>
        <w:spacing w:before="240" w:lineRule="auto"/>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1">
      <w:pPr>
        <w:spacing w:before="240" w:lineRule="auto"/>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2">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3">
      <w:pPr>
        <w:spacing w:before="240" w:lineRule="auto"/>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4">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3,02</w:t>
      </w:r>
      <w:r w:rsidDel="00000000" w:rsidR="00000000" w:rsidRPr="00000000">
        <w:rPr>
          <w:rtl w:val="0"/>
        </w:rPr>
      </w:r>
    </w:p>
    <w:p w:rsidR="00000000" w:rsidDel="00000000" w:rsidP="00000000" w:rsidRDefault="00000000" w:rsidRPr="00000000" w14:paraId="00000066">
      <w:pPr>
        <w:spacing w:before="240" w:lineRule="auto"/>
        <w:rPr>
          <w:sz w:val="22"/>
          <w:szCs w:val="22"/>
        </w:rPr>
      </w:pPr>
      <w:r w:rsidDel="00000000" w:rsidR="00000000" w:rsidRPr="00000000">
        <w:rPr>
          <w:rtl w:val="0"/>
        </w:rPr>
      </w:r>
    </w:p>
    <w:p w:rsidR="00000000" w:rsidDel="00000000" w:rsidP="00000000" w:rsidRDefault="00000000" w:rsidRPr="00000000" w14:paraId="00000067">
      <w:pPr>
        <w:spacing w:before="240" w:lineRule="auto"/>
        <w:rPr>
          <w:sz w:val="22"/>
          <w:szCs w:val="22"/>
        </w:rPr>
      </w:pPr>
      <w:r w:rsidDel="00000000" w:rsidR="00000000" w:rsidRPr="00000000">
        <w:rPr>
          <w:rtl w:val="0"/>
        </w:rPr>
      </w:r>
    </w:p>
    <w:p w:rsidR="00000000" w:rsidDel="00000000" w:rsidP="00000000" w:rsidRDefault="00000000" w:rsidRPr="00000000" w14:paraId="00000068">
      <w:pPr>
        <w:spacing w:before="240" w:lineRule="auto"/>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Legea nr. 5/2000 (*actualizată) privind aprobarea Planului de amenajare a teritoriului național - Secțiunea a III-a - zone protejate, cu modificările și completările ulterioare: rezervația naturală RONPA0491 Pârâul Dobreanului;</w:t>
      </w:r>
    </w:p>
    <w:p w:rsidR="00000000" w:rsidDel="00000000" w:rsidP="00000000" w:rsidRDefault="00000000" w:rsidRPr="00000000" w14:paraId="0000006A">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C">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000"/>
      </w:tblPr>
      <w:tblGrid>
        <w:gridCol w:w="4492"/>
        <w:gridCol w:w="4508"/>
        <w:tblGridChange w:id="0">
          <w:tblGrid>
            <w:gridCol w:w="4492"/>
            <w:gridCol w:w="450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Rule="auto"/>
              <w:jc w:val="both"/>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after="0" w:lineRule="auto"/>
              <w:jc w:val="both"/>
              <w:rPr>
                <w:b w:val="1"/>
                <w:bCs w:val="1"/>
                <w:sz w:val="22"/>
                <w:szCs w:val="22"/>
              </w:rPr>
            </w:pPr>
            <w:r w:rsidDel="00000000" w:rsidR="00000000" w:rsidRPr="00000000">
              <w:rPr>
                <w:b w:val="1"/>
                <w:bCs w:val="1"/>
                <w:sz w:val="22"/>
                <w:szCs w:val="22"/>
                <w:rtl w:val="0"/>
              </w:rPr>
              <w:t xml:space="preserve">Habitate de mlaștini calcifile:</w:t>
            </w:r>
          </w:p>
          <w:p w:rsidR="00000000" w:rsidDel="00000000" w:rsidP="00000000" w:rsidRDefault="00000000" w:rsidRPr="00000000" w14:paraId="00000071">
            <w:pPr>
              <w:spacing w:after="0" w:lineRule="auto"/>
              <w:jc w:val="both"/>
              <w:rPr>
                <w:sz w:val="22"/>
                <w:szCs w:val="22"/>
              </w:rPr>
            </w:pPr>
            <w:r w:rsidDel="00000000" w:rsidR="00000000" w:rsidRPr="00000000">
              <w:rPr>
                <w:sz w:val="22"/>
                <w:szCs w:val="22"/>
                <w:rtl w:val="0"/>
              </w:rPr>
              <w:t xml:space="preserve">7230 Mlaştini alcaline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74">
            <w:pPr>
              <w:spacing w:after="0" w:lineRule="auto"/>
              <w:rPr>
                <w:i w:val="1"/>
                <w:iCs w:val="1"/>
              </w:rPr>
            </w:pPr>
            <w:r w:rsidDel="00000000" w:rsidR="00000000" w:rsidRPr="00000000">
              <w:rPr>
                <w:i w:val="1"/>
                <w:iCs w:val="1"/>
                <w:sz w:val="22"/>
                <w:szCs w:val="22"/>
                <w:rtl w:val="0"/>
              </w:rPr>
              <w:t xml:space="preserve">1758 Ligularia sibirica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jc w:val="both"/>
              <w:rPr/>
            </w:pPr>
            <w:r w:rsidDel="00000000" w:rsidR="00000000" w:rsidRPr="00000000">
              <w:rPr>
                <w:sz w:val="22"/>
                <w:szCs w:val="22"/>
                <w:rtl w:val="0"/>
              </w:rPr>
              <w:t xml:space="preserve">Zona include habitate umede rare, dependente de condiții hidrologice și geochimice specifice, care susțin comunități biologice specializate și contribuie la menținerea diversității ecosistemelor umede.</w:t>
            </w:r>
            <w:r w:rsidDel="00000000" w:rsidR="00000000" w:rsidRPr="00000000">
              <w:rPr>
                <w:rtl w:val="0"/>
              </w:rPr>
            </w:r>
          </w:p>
          <w:p w:rsidR="00000000" w:rsidDel="00000000" w:rsidP="00000000" w:rsidRDefault="00000000" w:rsidRPr="00000000" w14:paraId="00000077">
            <w:pPr>
              <w:jc w:val="both"/>
              <w:rPr/>
            </w:pPr>
            <w:r w:rsidDel="00000000" w:rsidR="00000000" w:rsidRPr="00000000">
              <w:rPr>
                <w:sz w:val="22"/>
                <w:szCs w:val="22"/>
                <w:rtl w:val="0"/>
              </w:rPr>
              <w:t xml:space="preserve">Desemnarea ca ZPB se fundamentează pe criteriul stabilit de metodologie pentru rezervații naturale.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jc w:val="both"/>
              <w:rPr>
                <w:sz w:val="22"/>
                <w:szCs w:val="22"/>
              </w:rPr>
            </w:pPr>
            <w:r w:rsidDel="00000000" w:rsidR="00000000" w:rsidRPr="00000000">
              <w:rPr>
                <w:sz w:val="22"/>
                <w:szCs w:val="22"/>
                <w:rtl w:val="0"/>
              </w:rPr>
              <w:t xml:space="preserve">E01 - zone urbanizate, habitare umană (locuinţe umane)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240" w:lineRule="auto"/>
              <w:jc w:val="both"/>
              <w:rPr>
                <w:b w:val="1"/>
                <w:bCs w:val="1"/>
                <w:sz w:val="22"/>
                <w:szCs w:val="22"/>
              </w:rPr>
            </w:pPr>
            <w:r w:rsidDel="00000000" w:rsidR="00000000" w:rsidRPr="00000000">
              <w:rPr>
                <w:b w:val="1"/>
                <w:bCs w:val="1"/>
                <w:sz w:val="22"/>
                <w:szCs w:val="22"/>
                <w:rtl w:val="0"/>
              </w:rPr>
              <w:t xml:space="preserve">Obiective și măsuri de management activ pentru ecosistemele de mlaștini</w:t>
            </w:r>
          </w:p>
          <w:p w:rsidR="00000000" w:rsidDel="00000000" w:rsidP="00000000" w:rsidRDefault="00000000" w:rsidRPr="00000000" w14:paraId="0000007C">
            <w:pPr>
              <w:spacing w:after="0"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7D">
            <w:pPr>
              <w:spacing w:after="0" w:line="240" w:lineRule="auto"/>
              <w:jc w:val="both"/>
              <w:rPr>
                <w:sz w:val="22"/>
                <w:szCs w:val="22"/>
              </w:rPr>
            </w:pPr>
            <w:r w:rsidDel="00000000" w:rsidR="00000000" w:rsidRPr="00000000">
              <w:rPr>
                <w:sz w:val="22"/>
                <w:szCs w:val="22"/>
                <w:rtl w:val="0"/>
              </w:rPr>
              <w:t xml:space="preserve">Refacerea și menținerea funcționalității turbăriilor și mlaștinilor afectate prin restaurarea regimului hidrologic, controlul presiunilor antropice și prin măsuri active de conservare.</w:t>
            </w:r>
          </w:p>
          <w:p w:rsidR="00000000" w:rsidDel="00000000" w:rsidP="00000000" w:rsidRDefault="00000000" w:rsidRPr="00000000" w14:paraId="0000007E">
            <w:pPr>
              <w:spacing w:after="0"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7F">
            <w:pPr>
              <w:spacing w:after="0" w:line="240" w:lineRule="auto"/>
              <w:jc w:val="both"/>
              <w:rPr>
                <w:sz w:val="22"/>
                <w:szCs w:val="22"/>
              </w:rPr>
            </w:pPr>
            <w:r w:rsidDel="00000000" w:rsidR="00000000" w:rsidRPr="00000000">
              <w:rPr>
                <w:sz w:val="22"/>
                <w:szCs w:val="22"/>
                <w:rtl w:val="0"/>
              </w:rPr>
              <w:t xml:space="preserve">1. Restaurarea regimului hidrologic prin blocarea drenajelor și refacerea retenției apei.</w:t>
            </w:r>
          </w:p>
          <w:p w:rsidR="00000000" w:rsidDel="00000000" w:rsidP="00000000" w:rsidRDefault="00000000" w:rsidRPr="00000000" w14:paraId="00000080">
            <w:pPr>
              <w:spacing w:after="0" w:line="240" w:lineRule="auto"/>
              <w:jc w:val="both"/>
              <w:rPr>
                <w:sz w:val="22"/>
                <w:szCs w:val="22"/>
              </w:rPr>
            </w:pPr>
            <w:r w:rsidDel="00000000" w:rsidR="00000000" w:rsidRPr="00000000">
              <w:rPr>
                <w:sz w:val="22"/>
                <w:szCs w:val="22"/>
                <w:rtl w:val="0"/>
              </w:rPr>
              <w:t xml:space="preserve">2. Controlul eventualelor presiuni antropice (drenaje, eutrofizare, exploatare, frecventare).</w:t>
            </w:r>
          </w:p>
          <w:p w:rsidR="00000000" w:rsidDel="00000000" w:rsidP="00000000" w:rsidRDefault="00000000" w:rsidRPr="00000000" w14:paraId="00000081">
            <w:pPr>
              <w:spacing w:after="0" w:line="240" w:lineRule="auto"/>
              <w:jc w:val="both"/>
              <w:rPr>
                <w:sz w:val="22"/>
                <w:szCs w:val="22"/>
              </w:rPr>
            </w:pPr>
            <w:r w:rsidDel="00000000" w:rsidR="00000000" w:rsidRPr="00000000">
              <w:rPr>
                <w:sz w:val="22"/>
                <w:szCs w:val="22"/>
                <w:rtl w:val="0"/>
              </w:rPr>
              <w:t xml:space="preserve">3. Refacerea habitatelor degradate și a vegetației specifice de turbării/mlaștini.</w:t>
            </w:r>
          </w:p>
          <w:p w:rsidR="00000000" w:rsidDel="00000000" w:rsidP="00000000" w:rsidRDefault="00000000" w:rsidRPr="00000000" w14:paraId="00000082">
            <w:pPr>
              <w:spacing w:after="0" w:line="240" w:lineRule="auto"/>
              <w:jc w:val="both"/>
              <w:rPr>
                <w:sz w:val="22"/>
                <w:szCs w:val="22"/>
              </w:rPr>
            </w:pPr>
            <w:r w:rsidDel="00000000" w:rsidR="00000000" w:rsidRPr="00000000">
              <w:rPr>
                <w:sz w:val="22"/>
                <w:szCs w:val="22"/>
                <w:rtl w:val="0"/>
              </w:rPr>
              <w:t xml:space="preserve">4. Controlul speciilor invazive și al vegetației lemnoase invadante.</w:t>
            </w:r>
          </w:p>
          <w:p w:rsidR="00000000" w:rsidDel="00000000" w:rsidP="00000000" w:rsidRDefault="00000000" w:rsidRPr="00000000" w14:paraId="00000083">
            <w:pPr>
              <w:spacing w:after="0" w:line="240" w:lineRule="auto"/>
              <w:jc w:val="both"/>
              <w:rPr>
                <w:sz w:val="22"/>
                <w:szCs w:val="22"/>
              </w:rPr>
            </w:pPr>
            <w:r w:rsidDel="00000000" w:rsidR="00000000" w:rsidRPr="00000000">
              <w:rPr>
                <w:sz w:val="22"/>
                <w:szCs w:val="22"/>
                <w:rtl w:val="0"/>
              </w:rPr>
              <w:t xml:space="preserve">5. Monitorizarea efectelor restaurării și adaptarea managementului.</w:t>
            </w:r>
          </w:p>
          <w:p w:rsidR="00000000" w:rsidDel="00000000" w:rsidP="00000000" w:rsidRDefault="00000000" w:rsidRPr="00000000" w14:paraId="00000084">
            <w:pPr>
              <w:spacing w:after="0"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85">
            <w:pPr>
              <w:spacing w:after="0" w:line="240" w:lineRule="auto"/>
              <w:jc w:val="both"/>
              <w:rPr>
                <w:sz w:val="22"/>
                <w:szCs w:val="22"/>
              </w:rPr>
            </w:pPr>
            <w:r w:rsidDel="00000000" w:rsidR="00000000" w:rsidRPr="00000000">
              <w:rPr>
                <w:sz w:val="22"/>
                <w:szCs w:val="22"/>
                <w:rtl w:val="0"/>
              </w:rPr>
              <w:t xml:space="preserve">1. Drenajele existente se blochează sau se atenuează prin baraje cu impact redus, pentru refacerea nivelului apei și a regimului hidrologic natural.</w:t>
            </w:r>
          </w:p>
          <w:p w:rsidR="00000000" w:rsidDel="00000000" w:rsidP="00000000" w:rsidRDefault="00000000" w:rsidRPr="00000000" w14:paraId="00000086">
            <w:pPr>
              <w:spacing w:after="0" w:line="240" w:lineRule="auto"/>
              <w:jc w:val="both"/>
              <w:rPr>
                <w:sz w:val="22"/>
                <w:szCs w:val="22"/>
              </w:rPr>
            </w:pPr>
            <w:r w:rsidDel="00000000" w:rsidR="00000000" w:rsidRPr="00000000">
              <w:rPr>
                <w:sz w:val="22"/>
                <w:szCs w:val="22"/>
                <w:rtl w:val="0"/>
              </w:rPr>
              <w:t xml:space="preserve">2. Se interzic noi lucrări de drenaj, captări, excavări sau extragere de turbă; lucrările de restaurare se realizează doar în cadrul unor proiecte autorizate cu obiectiv exclusiv de conservare.</w:t>
            </w:r>
          </w:p>
          <w:p w:rsidR="00000000" w:rsidDel="00000000" w:rsidP="00000000" w:rsidRDefault="00000000" w:rsidRPr="00000000" w14:paraId="00000087">
            <w:pPr>
              <w:spacing w:after="0" w:line="240" w:lineRule="auto"/>
              <w:jc w:val="both"/>
              <w:rPr>
                <w:sz w:val="22"/>
                <w:szCs w:val="22"/>
              </w:rPr>
            </w:pPr>
            <w:r w:rsidDel="00000000" w:rsidR="00000000" w:rsidRPr="00000000">
              <w:rPr>
                <w:sz w:val="22"/>
                <w:szCs w:val="22"/>
                <w:rtl w:val="0"/>
              </w:rPr>
              <w:t xml:space="preserve">3. Vegetația lemnoasă invadantă instalată ca urmare a desecării (mesteacăn, pin etc.) se controlează prin tăieri selective, fără afectarea solului și a turbei.</w:t>
            </w:r>
          </w:p>
          <w:p w:rsidR="00000000" w:rsidDel="00000000" w:rsidP="00000000" w:rsidRDefault="00000000" w:rsidRPr="00000000" w14:paraId="00000088">
            <w:pPr>
              <w:spacing w:after="0" w:line="240" w:lineRule="auto"/>
              <w:jc w:val="both"/>
              <w:rPr>
                <w:sz w:val="22"/>
                <w:szCs w:val="22"/>
              </w:rPr>
            </w:pPr>
            <w:r w:rsidDel="00000000" w:rsidR="00000000" w:rsidRPr="00000000">
              <w:rPr>
                <w:sz w:val="22"/>
                <w:szCs w:val="22"/>
                <w:rtl w:val="0"/>
              </w:rPr>
              <w:t xml:space="preserve">4. Speciile invazive (de ex. specii nitrofile) se monitorizează și se controlează prin metode mecanice cu impact redus.</w:t>
            </w:r>
          </w:p>
          <w:p w:rsidR="00000000" w:rsidDel="00000000" w:rsidP="00000000" w:rsidRDefault="00000000" w:rsidRPr="00000000" w14:paraId="00000089">
            <w:pPr>
              <w:spacing w:after="0" w:line="240" w:lineRule="auto"/>
              <w:jc w:val="both"/>
              <w:rPr>
                <w:sz w:val="22"/>
                <w:szCs w:val="22"/>
              </w:rPr>
            </w:pPr>
            <w:r w:rsidDel="00000000" w:rsidR="00000000" w:rsidRPr="00000000">
              <w:rPr>
                <w:sz w:val="22"/>
                <w:szCs w:val="22"/>
                <w:rtl w:val="0"/>
              </w:rPr>
              <w:t xml:space="preserve">5. Accesul se limitează la trasee de monitorizare; vizitarea publică se realizează doar pe poteci sau platforme amenajate pentru a evita tasarea.</w:t>
            </w:r>
          </w:p>
          <w:p w:rsidR="00000000" w:rsidDel="00000000" w:rsidP="00000000" w:rsidRDefault="00000000" w:rsidRPr="00000000" w14:paraId="0000008A">
            <w:pPr>
              <w:spacing w:after="0" w:line="240" w:lineRule="auto"/>
              <w:jc w:val="both"/>
              <w:rPr>
                <w:sz w:val="22"/>
                <w:szCs w:val="22"/>
              </w:rPr>
            </w:pPr>
            <w:r w:rsidDel="00000000" w:rsidR="00000000" w:rsidRPr="00000000">
              <w:rPr>
                <w:sz w:val="22"/>
                <w:szCs w:val="22"/>
                <w:rtl w:val="0"/>
              </w:rPr>
              <w:t xml:space="preserve">6. Se monitorizează nivelul apei, calitatea apei, refacerea vegetației caracteristice și prezența speciilor invazive, iar măsurile se ajustează adaptiv.</w:t>
            </w:r>
          </w:p>
          <w:p w:rsidR="00000000" w:rsidDel="00000000" w:rsidP="00000000" w:rsidRDefault="00000000" w:rsidRPr="00000000" w14:paraId="0000008A">
            <w:pPr>
              <w:spacing w:after="0"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after="0" w:lineRule="auto"/>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jc w:val="cente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8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Bleahu, M.D. (2004) Arca lui Noe în secolul XXI. Ariile protejate și protecția naturii. București: Editura Național.</w:t>
      </w:r>
    </w:p>
    <w:p w:rsidR="00000000" w:rsidDel="00000000" w:rsidP="00000000" w:rsidRDefault="00000000" w:rsidRPr="00000000" w14:paraId="0000009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Mohan, G., Ardeleanu, A. și Georgescu, M. (1993) Rezervații și monumente ale naturii din România. București: Editura Scaiul.</w:t>
      </w:r>
    </w:p>
    <w:p w:rsidR="00000000" w:rsidDel="00000000" w:rsidP="00000000" w:rsidRDefault="00000000" w:rsidRPr="00000000" w14:paraId="00000091">
      <w:pPr>
        <w:spacing w:before="240" w:lineRule="auto"/>
        <w:jc w:val="center"/>
        <w:rPr/>
      </w:pPr>
      <w:r w:rsidDel="00000000" w:rsidR="00000000" w:rsidRPr="00000000">
        <w:rPr>
          <w:rtl w:val="0"/>
        </w:rPr>
      </w:r>
    </w:p>
    <w:p w:rsidR="00000000" w:rsidDel="00000000" w:rsidP="00000000" w:rsidRDefault="00000000" w:rsidRPr="00000000" w14:paraId="00000092">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93">
      <w:pPr>
        <w:jc w:val="center"/>
        <w:rPr/>
      </w:pPr>
      <w:r w:rsidDel="00000000" w:rsidR="00000000" w:rsidRPr="00000000">
        <w:rPr>
          <w:rtl w:val="0"/>
        </w:rPr>
      </w:r>
    </w:p>
    <w:p w:rsidR="00000000" w:rsidDel="00000000" w:rsidP="00000000" w:rsidRDefault="00000000" w:rsidRPr="00000000" w14:paraId="00000094">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95">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bookmarkStart w:colFirst="0" w:colLast="0" w:name="_heading=h.fy0evzqv25w1" w:id="0"/>
      <w:bookmarkEnd w:id="0"/>
      <w:r w:rsidDel="00000000" w:rsidR="00000000" w:rsidRPr="00000000">
        <w:rPr>
          <w:color w:val="000000"/>
          <w:sz w:val="22"/>
          <w:szCs w:val="22"/>
          <w:rtl w:val="0"/>
        </w:rPr>
        <w:t xml:space="preserve">Consultările publice au fost realizate la: 18 iunie 2025 – online, 17 iunie 2025 - DS Harghita.</w:t>
      </w:r>
    </w:p>
    <w:p w:rsidR="00000000" w:rsidDel="00000000" w:rsidP="00000000" w:rsidRDefault="00000000" w:rsidRPr="00000000" w14:paraId="00000096">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sidDel="00000000" w:rsidR="00000000" w:rsidRPr="00000000">
        <w:rPr>
          <w:sz w:val="22"/>
          <w:szCs w:val="22"/>
          <w:rtl w:val="0"/>
        </w:rPr>
        <w:t xml:space="preserve">Ulterior, în cadrul procesului de consultare extins la nivel național, au avut loc consultări suplimentară online în data de</w:t>
      </w:r>
      <w:r w:rsidDel="00000000" w:rsidR="00000000" w:rsidRPr="00000000">
        <w:rPr>
          <w:rtl w:val="0"/>
        </w:rPr>
        <w:t xml:space="preserve"> </w:t>
      </w:r>
      <w:r w:rsidDel="00000000" w:rsidR="00000000" w:rsidRPr="00000000">
        <w:rPr>
          <w:b w:val="1"/>
          <w:bCs w:val="1"/>
          <w:sz w:val="22"/>
          <w:szCs w:val="22"/>
          <w:rtl w:val="0"/>
        </w:rPr>
        <w:t xml:space="preserve">19 ianuarie 2026 </w:t>
      </w:r>
      <w:r w:rsidDel="00000000" w:rsidR="00000000" w:rsidRPr="00000000">
        <w:rPr>
          <w:sz w:val="22"/>
          <w:szCs w:val="22"/>
          <w:rtl w:val="0"/>
        </w:rPr>
        <w:t xml:space="preserve">cu participarea factorilor interesați relevanți din județul Harghita. De asemenea au avut loc consultări fizice cu participarea factorilor interesați relevanți dup cum urmează: În zilele </w:t>
      </w:r>
      <w:r w:rsidDel="00000000" w:rsidR="00000000" w:rsidRPr="00000000">
        <w:rPr>
          <w:b w:val="1"/>
          <w:bCs w:val="1"/>
          <w:sz w:val="22"/>
          <w:szCs w:val="22"/>
          <w:rtl w:val="0"/>
        </w:rPr>
        <w:t xml:space="preserve">26 - 27 martie 2026 </w:t>
      </w:r>
      <w:r w:rsidDel="00000000" w:rsidR="00000000" w:rsidRPr="00000000">
        <w:rPr>
          <w:sz w:val="22"/>
          <w:szCs w:val="22"/>
          <w:rtl w:val="0"/>
        </w:rPr>
        <w:t xml:space="preserve">au avut loc consultări la prefectura Harghita cu reprezentanții fiecărui UAT din județ.</w:t>
      </w:r>
    </w:p>
    <w:p w:rsidR="00000000" w:rsidDel="00000000" w:rsidP="00000000" w:rsidRDefault="00000000" w:rsidRPr="00000000" w14:paraId="00000097">
      <w:pPr>
        <w:spacing w:before="240" w:lineRule="auto"/>
        <w:jc w:val="center"/>
        <w:rPr/>
      </w:pPr>
      <w:r w:rsidDel="00000000" w:rsidR="00000000" w:rsidRPr="00000000">
        <w:rPr>
          <w:rtl w:val="0"/>
        </w:rPr>
      </w:r>
    </w:p>
    <w:p w:rsidR="00000000" w:rsidDel="00000000" w:rsidP="00000000" w:rsidRDefault="00000000" w:rsidRPr="00000000" w14:paraId="00000098">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99">
      <w:pPr>
        <w:spacing w:after="0" w:lineRule="auto"/>
        <w:jc w:val="center"/>
        <w:rPr/>
      </w:pPr>
      <w:r w:rsidDel="00000000" w:rsidR="00000000" w:rsidRPr="00000000">
        <w:rPr>
          <w:rtl w:val="0"/>
        </w:rPr>
      </w:r>
    </w:p>
    <w:p w:rsidR="00000000" w:rsidDel="00000000" w:rsidP="00000000" w:rsidRDefault="00000000" w:rsidRPr="00000000" w14:paraId="0000009A">
      <w:pPr>
        <w:spacing w:after="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9B">
      <w:pPr>
        <w:spacing w:after="0" w:lineRule="auto"/>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160" w:lineRule="auto"/>
    </w:pPr>
    <w:rPr>
      <w:rFonts w:ascii="Cambria" w:cs="Cambria" w:eastAsia="Cambria" w:hAnsi="Cambria"/>
      <w:color w:val="366091"/>
      <w:sz w:val="32"/>
      <w:szCs w:val="32"/>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mkLn/2If1JUc+UZ6s296xYulATQ==">CgMxLjAyDmguZnkwZXZ6cXYyNXcxOAByITFmNnVBRnk3d3NPTzB3M3JSa1VKbldkWFdPeTJpVnNRZQ==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